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240" w:lineRule="auto"/>
        <w:textAlignment w:val="auto"/>
      </w:pPr>
      <w:bookmarkStart w:id="2" w:name="_GoBack"/>
      <w:bookmarkStart w:id="0" w:name="_Toc476333705"/>
      <w:bookmarkStart w:id="1" w:name="_Toc6047"/>
      <w:r>
        <w:rPr>
          <w:rFonts w:hint="eastAsia"/>
          <w:lang w:eastAsia="zh-CN"/>
        </w:rPr>
        <w:t>KLN</w:t>
      </w:r>
      <w:r>
        <w:rPr>
          <w:rFonts w:hint="eastAsia"/>
        </w:rPr>
        <w:t>系列快速连接器</w:t>
      </w:r>
      <w:bookmarkEnd w:id="0"/>
      <w:bookmarkEnd w:id="1"/>
    </w:p>
    <w:bookmarkEnd w:id="2"/>
    <w:p>
      <w:pPr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uto"/>
        <w:jc w:val="right"/>
        <w:textAlignment w:val="auto"/>
      </w:pPr>
      <w:r>
        <w:t xml:space="preserve">   </w:t>
      </w:r>
      <w:r>
        <w:rPr>
          <w:rFonts w:hint="eastAsia"/>
        </w:rPr>
        <w:drawing>
          <wp:inline distT="0" distB="0" distL="0" distR="0">
            <wp:extent cx="4366895" cy="3054985"/>
            <wp:effectExtent l="0" t="0" r="14605" b="120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7" t="7550" r="19386" b="5896"/>
                    <a:stretch>
                      <a:fillRect/>
                    </a:stretch>
                  </pic:blipFill>
                  <pic:spPr>
                    <a:xfrm>
                      <a:off x="0" y="0"/>
                      <a:ext cx="4367175" cy="30555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 w:ascii="微软雅黑" w:hAnsi="微软雅黑"/>
          <w:color w:val="222A35" w:themeColor="text2" w:themeShade="80"/>
          <w:sz w:val="24"/>
          <w:szCs w:val="24"/>
        </w:rPr>
        <w:t xml:space="preserve"> </w:t>
      </w:r>
      <w:r>
        <w:rPr>
          <w:rFonts w:hint="eastAsia" w:ascii="微软雅黑" w:hAnsi="微软雅黑"/>
          <w:color w:val="222A35" w:themeColor="text2" w:themeShade="80"/>
          <w:sz w:val="24"/>
          <w:szCs w:val="24"/>
          <w:lang w:eastAsia="zh-CN"/>
        </w:rPr>
        <w:t>KLN</w:t>
      </w:r>
      <w:r>
        <w:rPr>
          <w:rFonts w:hint="eastAsia"/>
          <w:color w:val="222A35" w:themeColor="text2" w:themeShade="80"/>
          <w:sz w:val="24"/>
          <w:szCs w:val="24"/>
        </w:rPr>
        <w:t>系列快速连接器，用于对直管，钻孔和内螺纹部件的压力与气密测试。它利用橡胶密封件弹性密封的原理，可密封圆形与粗糙的表面并适应较大公差的测试件，气动驱动可应用于自动化测试；该快速连接器利用密封件和测试件表面之间的摩擦力连接，因此快速连接器密封件和被测件密封面不能沾水或其它润滑物质，该快速连接器不会对测试件施加轴向力和侧向力，特殊的双位快速连接器可按需提供，用来密封彼此间距很近的两个端口（见附1图，特殊类型），轴加长的</w:t>
      </w:r>
      <w:r>
        <w:rPr>
          <w:rFonts w:hint="eastAsia"/>
          <w:color w:val="222A35" w:themeColor="text2" w:themeShade="80"/>
          <w:sz w:val="24"/>
          <w:szCs w:val="24"/>
          <w:lang w:eastAsia="zh-CN"/>
        </w:rPr>
        <w:t>KLN</w:t>
      </w:r>
      <w:r>
        <w:rPr>
          <w:rFonts w:hint="eastAsia"/>
          <w:color w:val="222A35" w:themeColor="text2" w:themeShade="80"/>
          <w:sz w:val="24"/>
          <w:szCs w:val="24"/>
        </w:rPr>
        <w:t>系列快速连接器也可更具实际需求提供（见附2图，特殊类型）。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KLN</w:t>
      </w:r>
      <w:r>
        <w:rPr>
          <w:rFonts w:hint="eastAsia"/>
        </w:rPr>
        <w:t>系列的技术参数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工作压力：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入口B：从真空至最高9bar，其他压力范围可按需提供，当应用在受压环境下时，</w:t>
      </w:r>
      <w:r>
        <w:rPr>
          <w:rFonts w:hint="eastAsia"/>
          <w:color w:val="222A35" w:themeColor="text2" w:themeShade="80"/>
          <w:sz w:val="24"/>
          <w:szCs w:val="24"/>
          <w:lang w:eastAsia="zh-CN"/>
        </w:rPr>
        <w:t>KLN</w:t>
      </w:r>
      <w:r>
        <w:rPr>
          <w:rFonts w:hint="eastAsia"/>
          <w:color w:val="222A35" w:themeColor="text2" w:themeShade="80"/>
          <w:sz w:val="24"/>
          <w:szCs w:val="24"/>
        </w:rPr>
        <w:t>系列快速连接器必须由一个固定装置来固定好，仅对于真空应用环境下，不需要固定装置。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操作压力：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入口P：4至12bar 洁净压缩空气。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设计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壳体，活塞和垫圈为铝质合金。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密封件：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主密封使用丁腈橡胶/氯丁二烯材质的O型圈。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可选用聚氨酯（Urethane）密封件用于磨损较大的应用环境。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泄露率：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10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-3</w:t>
      </w:r>
      <w:r>
        <w:rPr>
          <w:rFonts w:hint="eastAsia"/>
          <w:color w:val="222A35" w:themeColor="text2" w:themeShade="80"/>
          <w:sz w:val="24"/>
          <w:szCs w:val="24"/>
        </w:rPr>
        <w:t>mbar×l/s (10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-4</w:t>
      </w:r>
      <w:r>
        <w:rPr>
          <w:rFonts w:hint="eastAsia"/>
          <w:color w:val="222A35" w:themeColor="text2" w:themeShade="80"/>
          <w:sz w:val="24"/>
          <w:szCs w:val="24"/>
        </w:rPr>
        <w:t>Pa×m</w:t>
      </w:r>
      <w:r>
        <w:rPr>
          <w:rFonts w:hint="eastAsia"/>
          <w:color w:val="222A35" w:themeColor="text2" w:themeShade="80"/>
          <w:sz w:val="24"/>
          <w:szCs w:val="24"/>
          <w:vertAlign w:val="superscript"/>
        </w:rPr>
        <w:t>3</w:t>
      </w:r>
      <w:r>
        <w:rPr>
          <w:rFonts w:hint="eastAsia"/>
          <w:color w:val="222A35" w:themeColor="text2" w:themeShade="80"/>
          <w:sz w:val="24"/>
          <w:szCs w:val="24"/>
        </w:rPr>
        <w:t>/s)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rFonts w:cstheme="majorBidi"/>
          <w:color w:val="222A35" w:themeColor="text2" w:themeShade="80"/>
          <w:sz w:val="30"/>
          <w:szCs w:val="30"/>
        </w:rPr>
      </w:pPr>
      <w:r>
        <w:rPr>
          <w:rFonts w:hint="eastAsia"/>
          <w:color w:val="222A35" w:themeColor="text2" w:themeShade="80"/>
          <w:sz w:val="24"/>
          <w:szCs w:val="24"/>
        </w:rPr>
        <w:t>*此为标准品最低泄漏率，我们可以按需求提供更低泄漏率的装置，这取决于客户提供的详细规格（测试方法，测试温度和测试压力）以及客户所提供样品的品质（即密封面表面处理情况，粗糙度和尺寸允许公差）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使用步骤：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1、用固定夹具将快速连接器固定好，将</w:t>
      </w:r>
      <w:r>
        <w:rPr>
          <w:rFonts w:hint="eastAsia"/>
          <w:color w:val="222A35" w:themeColor="text2" w:themeShade="80"/>
          <w:sz w:val="24"/>
          <w:szCs w:val="24"/>
          <w:lang w:eastAsia="zh-CN"/>
        </w:rPr>
        <w:t>KLN</w:t>
      </w:r>
      <w:r>
        <w:rPr>
          <w:rFonts w:hint="eastAsia"/>
          <w:color w:val="222A35" w:themeColor="text2" w:themeShade="80"/>
          <w:sz w:val="24"/>
          <w:szCs w:val="24"/>
        </w:rPr>
        <w:t>快速连接器插到测试件内，施加控制气源，快速连接器就此连接上，施加测试气源；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2、断开连接时，总是先释放测试压力；释放控制压力，将快速连接器移开。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微软雅黑" w:hAnsi="微软雅黑"/>
          <w:b/>
          <w:bCs/>
          <w:color w:val="000000" w:themeColor="text1" w:themeShade="80"/>
          <w:sz w:val="28"/>
          <w:szCs w:val="30"/>
        </w:rPr>
      </w:pP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ascii="微软雅黑" w:hAnsi="微软雅黑"/>
          <w:b/>
          <w:bCs/>
          <w:color w:val="000000" w:themeColor="text1" w:themeShade="80"/>
          <w:sz w:val="28"/>
          <w:szCs w:val="30"/>
        </w:rPr>
      </w:pPr>
      <w:r>
        <w:br w:type="page"/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规格尺寸（mm）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color w:val="222A35" w:themeColor="text2" w:themeShade="80"/>
        </w:rPr>
      </w:pPr>
      <w:r>
        <w:rPr>
          <w:color w:val="222A35" w:themeColor="text2" w:themeShade="80"/>
        </w:rPr>
        <w:drawing>
          <wp:inline distT="0" distB="0" distL="0" distR="0">
            <wp:extent cx="4522470" cy="2457450"/>
            <wp:effectExtent l="0" t="0" r="11430" b="0"/>
            <wp:docPr id="114" name="图片 58" descr="C:\Users\Administrator\Desktop\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58" descr="C:\Users\Administrator\Desktop\F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106" cy="245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222A35" w:themeColor="text2" w:themeShade="80"/>
        </w:rPr>
        <w:t xml:space="preserve">   </w:t>
      </w:r>
    </w:p>
    <w:tbl>
      <w:tblPr>
        <w:tblStyle w:val="7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themeShade="80" w:sz="4" w:space="0"/>
          <w:insideV w:val="single" w:color="000000" w:themeColor="text1" w:themeShade="8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2"/>
        <w:gridCol w:w="917"/>
        <w:gridCol w:w="900"/>
        <w:gridCol w:w="1066"/>
        <w:gridCol w:w="900"/>
        <w:gridCol w:w="851"/>
        <w:gridCol w:w="1417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02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91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入口B1</w:t>
            </w:r>
          </w:p>
        </w:tc>
        <w:tc>
          <w:tcPr>
            <w:tcW w:w="90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驱动口P1</w:t>
            </w:r>
          </w:p>
        </w:tc>
        <w:tc>
          <w:tcPr>
            <w:tcW w:w="1066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安装口G</w:t>
            </w:r>
          </w:p>
        </w:tc>
        <w:tc>
          <w:tcPr>
            <w:tcW w:w="900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ΦD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ΦD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sz w:val="16"/>
                <w:szCs w:val="16"/>
              </w:rPr>
              <w:t>L</w:t>
            </w:r>
          </w:p>
        </w:tc>
        <w:tc>
          <w:tcPr>
            <w:tcW w:w="1962" w:type="dxa"/>
            <w:vMerge w:val="restart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902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color w:val="222A35" w:themeColor="text2" w:themeShade="80"/>
              </w:rPr>
            </w:pPr>
          </w:p>
        </w:tc>
        <w:tc>
          <w:tcPr>
            <w:tcW w:w="91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066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1962" w:type="dxa"/>
            <w:vMerge w:val="continue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黑体" w:hAnsi="宋体" w:eastAsia="黑体"/>
                <w:color w:val="222A35" w:themeColor="text2" w:themeShade="8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9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M5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M5</w:t>
            </w:r>
          </w:p>
        </w:tc>
        <w:tc>
          <w:tcPr>
            <w:tcW w:w="1066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M5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31.8</w:t>
            </w:r>
          </w:p>
        </w:tc>
        <w:tc>
          <w:tcPr>
            <w:tcW w:w="851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20.2</w:t>
            </w:r>
          </w:p>
        </w:tc>
        <w:tc>
          <w:tcPr>
            <w:tcW w:w="14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55.1</w:t>
            </w:r>
          </w:p>
        </w:tc>
        <w:tc>
          <w:tcPr>
            <w:tcW w:w="196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9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″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39.9</w:t>
            </w:r>
          </w:p>
        </w:tc>
        <w:tc>
          <w:tcPr>
            <w:tcW w:w="851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25.9</w:t>
            </w:r>
          </w:p>
        </w:tc>
        <w:tc>
          <w:tcPr>
            <w:tcW w:w="14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64.7</w:t>
            </w:r>
          </w:p>
        </w:tc>
        <w:tc>
          <w:tcPr>
            <w:tcW w:w="196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9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″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39.9</w:t>
            </w:r>
          </w:p>
        </w:tc>
        <w:tc>
          <w:tcPr>
            <w:tcW w:w="851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25.9</w:t>
            </w:r>
          </w:p>
        </w:tc>
        <w:tc>
          <w:tcPr>
            <w:tcW w:w="14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64.7</w:t>
            </w:r>
          </w:p>
        </w:tc>
        <w:tc>
          <w:tcPr>
            <w:tcW w:w="196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22.0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9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″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60.0</w:t>
            </w:r>
          </w:p>
        </w:tc>
        <w:tc>
          <w:tcPr>
            <w:tcW w:w="851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40.6</w:t>
            </w:r>
          </w:p>
        </w:tc>
        <w:tc>
          <w:tcPr>
            <w:tcW w:w="14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77.5</w:t>
            </w:r>
          </w:p>
        </w:tc>
        <w:tc>
          <w:tcPr>
            <w:tcW w:w="196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9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  <w:t>G1/8</w:t>
            </w: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″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60.0</w:t>
            </w:r>
          </w:p>
        </w:tc>
        <w:tc>
          <w:tcPr>
            <w:tcW w:w="851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40.6</w:t>
            </w:r>
          </w:p>
        </w:tc>
        <w:tc>
          <w:tcPr>
            <w:tcW w:w="14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77.5</w:t>
            </w:r>
          </w:p>
        </w:tc>
        <w:tc>
          <w:tcPr>
            <w:tcW w:w="196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34.8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9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G1/2″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88.6</w:t>
            </w:r>
          </w:p>
        </w:tc>
        <w:tc>
          <w:tcPr>
            <w:tcW w:w="851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58.7</w:t>
            </w:r>
          </w:p>
        </w:tc>
        <w:tc>
          <w:tcPr>
            <w:tcW w:w="14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93.5</w:t>
            </w:r>
          </w:p>
        </w:tc>
        <w:tc>
          <w:tcPr>
            <w:tcW w:w="196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9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G1/2″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88.6</w:t>
            </w:r>
          </w:p>
        </w:tc>
        <w:tc>
          <w:tcPr>
            <w:tcW w:w="851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58.7</w:t>
            </w:r>
          </w:p>
        </w:tc>
        <w:tc>
          <w:tcPr>
            <w:tcW w:w="14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93.5</w:t>
            </w:r>
          </w:p>
        </w:tc>
        <w:tc>
          <w:tcPr>
            <w:tcW w:w="196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9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G3/4″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106.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76.2</w:t>
            </w:r>
          </w:p>
        </w:tc>
        <w:tc>
          <w:tcPr>
            <w:tcW w:w="1417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108.2</w:t>
            </w:r>
          </w:p>
        </w:tc>
        <w:tc>
          <w:tcPr>
            <w:tcW w:w="1962" w:type="dxa"/>
            <w:shd w:val="clear" w:color="auto" w:fill="CBCBCB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90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9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G3/4″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G1/8″</w:t>
            </w:r>
          </w:p>
        </w:tc>
        <w:tc>
          <w:tcPr>
            <w:tcW w:w="1066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M6</w:t>
            </w:r>
          </w:p>
        </w:tc>
        <w:tc>
          <w:tcPr>
            <w:tcW w:w="900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106.</w:t>
            </w: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76.2</w:t>
            </w:r>
          </w:p>
        </w:tc>
        <w:tc>
          <w:tcPr>
            <w:tcW w:w="1417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108.2</w:t>
            </w:r>
          </w:p>
        </w:tc>
        <w:tc>
          <w:tcPr>
            <w:tcW w:w="1962" w:type="dxa"/>
            <w:shd w:val="clear" w:color="auto" w:fill="E7E7E7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62.7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</w:rPr>
        <w:t>标准</w:t>
      </w:r>
      <w:r>
        <w:rPr>
          <w:rFonts w:hint="eastAsia"/>
          <w:lang w:eastAsia="zh-CN"/>
        </w:rPr>
        <w:t>KLN</w:t>
      </w:r>
      <w:r>
        <w:rPr>
          <w:rFonts w:hint="eastAsia"/>
        </w:rPr>
        <w:t>系列快速连接器明细</w:t>
      </w:r>
    </w:p>
    <w:tbl>
      <w:tblPr>
        <w:tblStyle w:val="7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themeColor="text1" w:themeShade="80" w:sz="4" w:space="0"/>
          <w:insideV w:val="single" w:color="000000" w:themeColor="text1" w:themeShade="8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155"/>
        <w:gridCol w:w="1050"/>
        <w:gridCol w:w="1575"/>
        <w:gridCol w:w="2100"/>
        <w:gridCol w:w="105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外形尺寸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密封范围A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(mm)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Lmin*</w:t>
            </w:r>
            <w:r>
              <w:rPr>
                <w:b/>
                <w:color w:val="222A35" w:themeColor="text2" w:themeShade="80"/>
                <w:kern w:val="0"/>
                <w:sz w:val="16"/>
                <w:szCs w:val="16"/>
              </w:rPr>
              <w:t>（mm）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型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零件号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型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封堵零件号</w:t>
            </w:r>
          </w:p>
        </w:tc>
        <w:tc>
          <w:tcPr>
            <w:tcW w:w="1050" w:type="dxa"/>
            <w:shd w:val="clear" w:color="auto" w:fill="D8D8D8" w:themeFill="background1" w:themeFillShade="D9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密封件号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更换密封件</w:t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/>
                <w:b/>
                <w:color w:val="222A35" w:themeColor="text2" w:themeShade="80"/>
                <w:kern w:val="0"/>
                <w:sz w:val="16"/>
                <w:szCs w:val="16"/>
              </w:rPr>
              <w:t>零件号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7.7-8.3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12.2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01-0300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01-0300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01-0300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01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8.4-10.0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13.4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01-01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>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10.0-1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1-13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1-1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17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17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22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23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23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21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15.0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.5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.5-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.5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.5-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4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36.0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27.8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2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36.0-38.0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40.9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38.0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40.9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40.0-42.0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40.9</w:t>
            </w:r>
          </w:p>
        </w:tc>
        <w:tc>
          <w:tcPr>
            <w:tcW w:w="157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</w:t>
            </w:r>
          </w:p>
        </w:tc>
        <w:tc>
          <w:tcPr>
            <w:tcW w:w="210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 P</w:t>
            </w:r>
          </w:p>
        </w:tc>
        <w:tc>
          <w:tcPr>
            <w:tcW w:w="1050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C0C0C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5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42.0-44.0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40.9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5-54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5-54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5-54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44.0-46.0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6-61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6-61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46.0-48.0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6-62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48.0-50.0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6-63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6-63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50.0-52..0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6-64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6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52.0-56.0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6-65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6-65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7-71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7-71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7-71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5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7-72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7-72 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7-72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7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7-73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7-73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7-73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65.0-6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8-81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8-81 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8-81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6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9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8-82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8-82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8-82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15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72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8-83</w:t>
            </w:r>
          </w:p>
        </w:tc>
        <w:tc>
          <w:tcPr>
            <w:tcW w:w="210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8-83 P</w:t>
            </w:r>
          </w:p>
        </w:tc>
        <w:tc>
          <w:tcPr>
            <w:tcW w:w="1050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BEBEBE" w:themeFill="background1" w:themeFillShade="BF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8-83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themeColor="text1" w:themeShade="80" w:sz="4" w:space="0"/>
            <w:insideV w:val="single" w:color="000000" w:themeColor="text1" w:themeShade="8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ascii="Times New Roman" w:hAnsi="Times New Roman"/>
                <w:color w:val="222A35" w:themeColor="text2" w:themeShade="80"/>
                <w:kern w:val="0"/>
                <w:sz w:val="16"/>
                <w:szCs w:val="16"/>
              </w:rPr>
              <w:t>8</w:t>
            </w:r>
          </w:p>
        </w:tc>
        <w:tc>
          <w:tcPr>
            <w:tcW w:w="115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75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.0-</w:t>
            </w: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78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.0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41.4</w:t>
            </w:r>
          </w:p>
        </w:tc>
        <w:tc>
          <w:tcPr>
            <w:tcW w:w="157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8-84</w:t>
            </w:r>
          </w:p>
        </w:tc>
        <w:tc>
          <w:tcPr>
            <w:tcW w:w="210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8-84 P</w:t>
            </w:r>
          </w:p>
        </w:tc>
        <w:tc>
          <w:tcPr>
            <w:tcW w:w="1050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3</w:t>
            </w:r>
          </w:p>
        </w:tc>
        <w:tc>
          <w:tcPr>
            <w:tcW w:w="2235" w:type="dxa"/>
            <w:shd w:val="clear" w:color="auto" w:fill="D8D8D8" w:themeFill="background1" w:themeFillShade="D9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</w:pPr>
            <w:r>
              <w:rPr>
                <w:rFonts w:hint="eastAsia" w:ascii="Times New Roman" w:hAnsi="Times New Roman" w:eastAsia="黑体"/>
                <w:color w:val="222A35" w:themeColor="text2" w:themeShade="80"/>
                <w:kern w:val="0"/>
                <w:sz w:val="16"/>
                <w:szCs w:val="16"/>
                <w:lang w:eastAsia="zh-CN"/>
              </w:rPr>
              <w:t>KLN</w:t>
            </w:r>
            <w:r>
              <w:rPr>
                <w:rFonts w:ascii="Times New Roman" w:hAnsi="Times New Roman" w:eastAsia="黑体"/>
                <w:color w:val="222A35" w:themeColor="text2" w:themeShade="80"/>
                <w:kern w:val="0"/>
                <w:sz w:val="16"/>
                <w:szCs w:val="16"/>
              </w:rPr>
              <w:t>8-84</w:t>
            </w:r>
            <w:r>
              <w:rPr>
                <w:rFonts w:ascii="Times New Roman" w:hAnsi="Times New Roman" w:eastAsia="黑体"/>
                <w:color w:val="222A35" w:themeColor="text2" w:themeShade="80"/>
                <w:sz w:val="16"/>
                <w:szCs w:val="16"/>
              </w:rPr>
              <w:t xml:space="preserve"> NBR</w:t>
            </w:r>
          </w:p>
        </w:tc>
      </w:tr>
    </w:tbl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-3773170</wp:posOffset>
                </wp:positionH>
                <wp:positionV relativeFrom="paragraph">
                  <wp:posOffset>638175</wp:posOffset>
                </wp:positionV>
                <wp:extent cx="2112645" cy="1082040"/>
                <wp:effectExtent l="0" t="0" r="0" b="0"/>
                <wp:wrapNone/>
                <wp:docPr id="122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2645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312"/>
                              <w:ind w:left="1619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*Lmin：最短螺纹长度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6" o:spid="_x0000_s1026" o:spt="1" style="position:absolute;left:0pt;margin-left:-297.1pt;margin-top:50.25pt;height:85.2pt;width:166.35pt;z-index:251686912;mso-width-relative:page;mso-height-relative:page;" filled="f" stroked="f" coordsize="21600,21600" o:gfxdata="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fnZ3NsAAAANAQAADwAAAAAAAAABACAAAAAiAAAAZHJzL2Rvd25yZXYueG1sUEsBAhQA&#10;FAAAAAgAh07iQPm855rvAQAAzwMAAA4AAAAAAAAAAQAgAAAAKgEAAGRycy9lMm9Eb2MueG1sUEsF&#10;BgAAAAAGAAYAWQEAAIsFAAAAAA==&#10;">
                <v:path/>
                <v:fill on="f"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spacing w:before="312"/>
                        <w:ind w:left="1619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*Lmin：最短螺纹长度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>KLN</w:t>
      </w:r>
      <w:r>
        <w:rPr>
          <w:rFonts w:hint="eastAsia"/>
        </w:rPr>
        <w:t>系列快速连接器的应用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泄漏测试：压力，水下，氦气测试。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其他应用：加注，压力和功能测试以及冲洗等等。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jc w:val="left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部件：容器、塑料容器、医疗部件、阀门、泵、过滤器、压力容器及管路连接等。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Cs w:val="21"/>
        </w:rPr>
      </w:pPr>
      <w:r>
        <w:rPr>
          <w:color w:val="222A35" w:themeColor="text2" w:themeShade="80"/>
          <w:szCs w:val="21"/>
        </w:rPr>
        <w:br w:type="page"/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="0" w:line="240" w:lineRule="auto"/>
        <w:textAlignment w:val="auto"/>
      </w:pPr>
      <w:r>
        <w:rPr>
          <w:rFonts w:hint="eastAsia"/>
          <w:lang w:eastAsia="zh-CN"/>
        </w:rPr>
        <w:t>KLN</w:t>
      </w:r>
      <w:r>
        <w:rPr>
          <w:rFonts w:hint="eastAsia"/>
        </w:rPr>
        <w:t>系列快速连接器的特殊型式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ind w:left="1800" w:leftChars="857"/>
        <w:textAlignment w:val="auto"/>
        <w:rPr>
          <w:color w:val="222A35" w:themeColor="text2" w:themeShade="80"/>
          <w:sz w:val="24"/>
          <w:szCs w:val="24"/>
        </w:rPr>
      </w:pPr>
      <w:r>
        <w:rPr>
          <w:rFonts w:hint="eastAsia"/>
          <w:color w:val="222A35" w:themeColor="text2" w:themeShade="80"/>
          <w:sz w:val="24"/>
          <w:szCs w:val="24"/>
        </w:rPr>
        <w:t>如标准型不能满足您的使用要求，我们将为您提供专属解决方案，欢迎咨询。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5" w:right="986" w:bottom="1134" w:left="1021" w:header="170" w:footer="11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0"/>
        <w:szCs w:val="20"/>
      </w:rPr>
      <w:id w:val="109009535"/>
    </w:sdtPr>
    <w:sdtEndPr>
      <w:rPr>
        <w:sz w:val="21"/>
        <w:szCs w:val="21"/>
      </w:rPr>
    </w:sdtEndPr>
    <w:sdtContent>
      <w:p>
        <w:pPr>
          <w:pStyle w:val="4"/>
          <w:jc w:val="center"/>
          <w:rPr>
            <w:rFonts w:hint="eastAsia"/>
            <w:sz w:val="20"/>
            <w:szCs w:val="20"/>
            <w:lang w:val="en-US" w:eastAsia="zh-CN"/>
          </w:rPr>
        </w:pPr>
        <w:r>
          <w:rPr>
            <w:rFonts w:hint="eastAsia"/>
            <w:sz w:val="20"/>
            <w:szCs w:val="20"/>
            <w:lang w:eastAsia="zh-CN"/>
          </w:rPr>
          <w:t>合肥远智自动化科技有限公司</w:t>
        </w:r>
        <w:r>
          <w:rPr>
            <w:rFonts w:hint="eastAsia"/>
            <w:sz w:val="20"/>
            <w:szCs w:val="20"/>
            <w:lang w:val="en-US" w:eastAsia="zh-CN"/>
          </w:rPr>
          <w:t xml:space="preserve">  地址：合肥市蜀山区山湖路558号</w:t>
        </w:r>
      </w:p>
      <w:p>
        <w:pPr>
          <w:pStyle w:val="4"/>
          <w:jc w:val="center"/>
          <w:rPr>
            <w:sz w:val="21"/>
            <w:szCs w:val="21"/>
          </w:rPr>
        </w:pPr>
        <w:r>
          <w:rPr>
            <w:rFonts w:hint="eastAsia"/>
            <w:sz w:val="20"/>
            <w:szCs w:val="20"/>
            <w:lang w:val="en-US" w:eastAsia="zh-CN"/>
          </w:rPr>
          <w:t>王慧娟 手机：15056044460 电话：0551-65313768  传真：0551-63486329</w:t>
        </w:r>
      </w:p>
    </w:sdtContent>
  </w:sdt>
  <w:p>
    <w:pPr>
      <w:pStyle w:val="4"/>
      <w:ind w:right="-3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09534"/>
    </w:sdtPr>
    <w:sdtContent>
      <w:p>
        <w:pPr>
          <w:pStyle w:val="4"/>
          <w:jc w:val="right"/>
        </w:pPr>
        <w:r>
          <w:pict>
            <v:shape id="_x0000_i1027" o:spt="75" type="#_x0000_t75" style="height:4.55pt;width:489.95pt;" filled="f" o:preferrelative="t" stroked="f" coordsize="21600,21600" o:hr="t" o:hrpct="0" o:hralign="center">
              <v:path/>
              <v:fill on="f" focussize="0,0"/>
              <v:stroke on="f" joinstyle="miter"/>
              <v:imagedata r:id="rId1" o:title="BD15155_"/>
              <o:lock v:ext="edit" aspectratio="t"/>
              <w10:wrap type="none"/>
              <w10:anchorlock/>
            </v:shape>
          </w:pict>
        </w:r>
      </w:p>
      <w:p>
        <w:pPr>
          <w:pStyle w:val="4"/>
        </w:pPr>
        <w:r>
          <w:rPr>
            <w:rFonts w:ascii="微软雅黑" w:hAnsi="微软雅黑"/>
          </w:rPr>
          <w:fldChar w:fldCharType="begin"/>
        </w:r>
        <w:r>
          <w:rPr>
            <w:rFonts w:ascii="微软雅黑" w:hAnsi="微软雅黑"/>
          </w:rPr>
          <w:instrText xml:space="preserve"> PAGE   \* MERGEFORMAT </w:instrText>
        </w:r>
        <w:r>
          <w:rPr>
            <w:rFonts w:ascii="微软雅黑" w:hAnsi="微软雅黑"/>
          </w:rPr>
          <w:fldChar w:fldCharType="separate"/>
        </w:r>
        <w:r>
          <w:rPr>
            <w:rFonts w:ascii="微软雅黑" w:hAnsi="微软雅黑"/>
            <w:lang w:val="zh-CN"/>
          </w:rPr>
          <w:t>42</w:t>
        </w:r>
        <w:r>
          <w:rPr>
            <w:rFonts w:ascii="微软雅黑" w:hAnsi="微软雅黑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949"/>
        <w:tab w:val="clear" w:pos="4153"/>
        <w:tab w:val="clear" w:pos="8306"/>
      </w:tabs>
      <w:wordWrap/>
      <w:ind w:right="29"/>
      <w:jc w:val="center"/>
    </w:pPr>
    <w:r>
      <w:rPr>
        <w:rFonts w:hint="eastAsia" w:asciiTheme="majorHAnsi" w:hAnsiTheme="majorHAnsi" w:eastAsiaTheme="majorEastAsia" w:cstheme="majorBidi"/>
        <w:b/>
        <w:color w:val="2E75B6" w:themeColor="accent1" w:themeShade="BF"/>
        <w:sz w:val="22"/>
        <w:lang w:eastAsia="zh-CN"/>
      </w:rPr>
      <w:t>合肥远智</w:t>
    </w:r>
    <w:r>
      <w:rPr>
        <w:rFonts w:hint="eastAsia" w:asciiTheme="majorHAnsi" w:hAnsiTheme="majorHAnsi" w:eastAsiaTheme="majorEastAsia" w:cstheme="majorBidi"/>
        <w:b/>
        <w:color w:val="2E75B6" w:themeColor="accent1" w:themeShade="BF"/>
        <w:sz w:val="22"/>
      </w:rPr>
      <w:t>自动化科技有限公司</w:t>
    </w:r>
    <w:r>
      <w:pict>
        <v:shape id="_x0000_i1025" o:spt="75" type="#_x0000_t75" style="height:4.2pt;width:512.4pt;" filled="f" o:preferrelative="t" stroked="f" coordsize="21600,21600" o:hr="t" o:hrpct="0" o:hralign="center">
          <v:path/>
          <v:fill on="f" focussize="0,0"/>
          <v:stroke on="f" joinstyle="miter"/>
          <v:imagedata r:id="rId1" o:title="BD15155_"/>
          <o:lock v:ext="edit" aspectratio="t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9"/>
      </w:pBdr>
      <w:tabs>
        <w:tab w:val="center" w:pos="4949"/>
        <w:tab w:val="right" w:pos="9899"/>
        <w:tab w:val="clear" w:pos="4153"/>
      </w:tabs>
      <w:jc w:val="left"/>
    </w:pPr>
    <w:r>
      <w:rPr>
        <w:rFonts w:hint="eastAsia" w:asciiTheme="majorHAnsi" w:hAnsiTheme="majorHAnsi" w:eastAsiaTheme="majorEastAsia" w:cstheme="majorBidi"/>
        <w:b/>
        <w:color w:val="2E75B6" w:themeColor="accent1" w:themeShade="BF"/>
        <w:sz w:val="22"/>
        <w:lang w:eastAsia="zh-CN"/>
      </w:rPr>
      <w:t>合肥远智</w:t>
    </w:r>
    <w:r>
      <w:rPr>
        <w:rFonts w:hint="eastAsia" w:asciiTheme="majorHAnsi" w:hAnsiTheme="majorHAnsi" w:eastAsiaTheme="majorEastAsia" w:cstheme="majorBidi"/>
        <w:b/>
        <w:color w:val="2E75B6" w:themeColor="accent1" w:themeShade="BF"/>
        <w:sz w:val="22"/>
      </w:rPr>
      <w:t>自动化科技有限公司</w:t>
    </w:r>
    <w:r>
      <w:pict>
        <v:shape id="_x0000_i1026" o:spt="75" type="#_x0000_t75" style="height:4.5pt;width:489.95pt;" filled="f" o:preferrelative="t" stroked="f" coordsize="21600,21600" o:hr="t" o:hrpct="0" o:hralign="center">
          <v:path/>
          <v:fill on="f" focussize="0,0"/>
          <v:stroke on="f" joinstyle="miter"/>
          <v:imagedata r:id="rId1" o:title="BD15155_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E31BA"/>
    <w:rsid w:val="09CE31BA"/>
    <w:rsid w:val="1E800F22"/>
    <w:rsid w:val="29287B7E"/>
    <w:rsid w:val="2DC3179D"/>
    <w:rsid w:val="34AC744C"/>
    <w:rsid w:val="35DC56EA"/>
    <w:rsid w:val="4C284B40"/>
    <w:rsid w:val="4D0D765B"/>
    <w:rsid w:val="548F6F58"/>
    <w:rsid w:val="590814A7"/>
    <w:rsid w:val="6D535020"/>
    <w:rsid w:val="74B123B3"/>
    <w:rsid w:val="7AD65CF8"/>
    <w:rsid w:val="7F86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120" w:lineRule="atLeast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Theme="majorHAnsi" w:hAnsiTheme="majorHAnsi" w:cstheme="majorBidi"/>
      <w:b/>
      <w:bCs/>
      <w:color w:val="000000" w:themeColor="text1" w:themeShade="80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40" w:after="120" w:line="100" w:lineRule="atLeast"/>
      <w:jc w:val="left"/>
      <w:outlineLvl w:val="2"/>
    </w:pPr>
    <w:rPr>
      <w:rFonts w:ascii="微软雅黑" w:hAnsi="微软雅黑"/>
      <w:b/>
      <w:bCs/>
      <w:color w:val="000000" w:themeColor="text1" w:themeShade="80"/>
      <w:sz w:val="28"/>
      <w:szCs w:val="30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2018-04-03T08:21:00Z</dcterms:created>
  <dc:creator>素笔青笺</dc:creator>
  <cp:lastModifiedBy>素笔青笺</cp:lastModifiedBy>
  <dcterms:modified xsi:type="dcterms:W3CDTF">2018-04-03T10:09:51Z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